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210.02: Regular Meeting</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regular meeting time and date will be set by the Tri-County board at the organizational meeting in odd-numbered years, or at the annual meeting in even-numbered years.  </w:t>
        <w:br w:type="textWrapping"/>
        <w:br w:type="textWrapping"/>
      </w:r>
      <w:r w:rsidDel="00000000" w:rsidR="00000000" w:rsidRPr="00000000">
        <w:rPr>
          <w:rFonts w:ascii="Lato" w:cs="Lato" w:eastAsia="Lato" w:hAnsi="Lato"/>
          <w:rtl w:val="0"/>
        </w:rPr>
        <w:t xml:space="preserve">The board will adhere to this meeting date and time unless the board requires additional meetings or, due to circumstances beyond the board's control, the meeting cannot be held on the regular meeting date, and the meeting will be re-scheduled in accordance with law and policy.  Public notice of the meetings will be given.</w:t>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21.3, .4; 279.1 </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21.3</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Meetings of Governmental Bodies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21.4</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Public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279.1</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 Powers and Duties - Organization-Student Improvement Oversight</w:t>
              </w:r>
            </w:hyperlink>
            <w:r w:rsidDel="00000000" w:rsidR="00000000" w:rsidRPr="00000000">
              <w:rPr>
                <w:rtl w:val="0"/>
              </w:rPr>
            </w:r>
          </w:p>
        </w:tc>
      </w:tr>
    </w:tbl>
    <w:p w:rsidR="00000000" w:rsidDel="00000000" w:rsidP="00000000" w:rsidRDefault="00000000" w:rsidRPr="00000000" w14:paraId="0000001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200.01</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Organization of the Board of Directors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200.01-R(1)</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Organization of the Board of Directors - Organizational Meeting Procedures</w:t>
              </w:r>
            </w:hyperlink>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WLksjn8ccHKhW5ldF6Dgzg==" TargetMode="External"/><Relationship Id="rId10" Type="http://schemas.openxmlformats.org/officeDocument/2006/relationships/hyperlink" Target="https://simbli.eboardsolutions.com/Policy/ViewPolicy.aspx?S=36031104&amp;revid=3vCiPXPR3W9slsh9ETfO8bQAg==" TargetMode="External"/><Relationship Id="rId9" Type="http://schemas.openxmlformats.org/officeDocument/2006/relationships/hyperlink" Target="https://www.legis.iowa.gov/docs/code/279.1.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3.pdf" TargetMode="External"/><Relationship Id="rId8" Type="http://schemas.openxmlformats.org/officeDocument/2006/relationships/hyperlink" Target="https://www.legis.iowa.gov/docs/code/21.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UTeUQiBwOLOFQp65iood4Fktg==">CgMxLjAyCGguZ2pkZ3hzOAByITFlVktmYnpya1NnSVA4ZTV6MnpUYlVQd1ZXMHQ2RXNOSg==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2024-02-14T20:02:00Z</dcterms:created>
  <dc:creator>Linda Heisdorffer</dc:creator>
</cp:coreProperties>
</file>